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-464185</wp:posOffset>
            </wp:positionV>
            <wp:extent cx="7630160" cy="10688320"/>
            <wp:effectExtent l="0" t="0" r="8890" b="17780"/>
            <wp:wrapNone/>
            <wp:docPr id="2" name="图片 1" descr="C:\Users\PM\Desktop\海迪尔-1.jpg海迪尔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PM\Desktop\海迪尔-1.jpg海迪尔-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/>
          <w:sz w:val="18"/>
          <w:szCs w:val="18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60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5306060</wp:posOffset>
                </wp:positionV>
                <wp:extent cx="5781675" cy="5162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u w:val="none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u w:val="none"/>
                                <w:shd w:val="clear" w:color="auto" w:fill="FFFFFF"/>
                              </w:rPr>
                              <w:t>MT/LT系列500-2000VA后备式220V/110V电源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5pt;margin-top:417.8pt;height:40.65pt;width:455.25pt;z-index:251660288;mso-width-relative:page;mso-height-relative:page;" filled="f" stroked="f" coordsize="21600,21600" o:gfxdata="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kXcZdwAAAALAQAADwAAAAAAAAABACAAAAAiAAAA&#10;ZHJzL2Rvd25yZXYueG1sUEsBAhQAFAAAAAgAh07iQFiz3Z4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u w:val="none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u w:val="none"/>
                          <w:shd w:val="clear" w:color="auto" w:fill="FFFFFF"/>
                        </w:rPr>
                        <w:t>MT/LT系列500-2000VA后备式220V/110V电源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jc w:val="center"/>
        <w:rPr>
          <w:rFonts w:ascii="Tahoma" w:hAnsi="Tahoma" w:eastAsia="宋体" w:cs="Tahoma"/>
          <w:color w:val="000000"/>
          <w:sz w:val="21"/>
          <w:lang w:val="en-GB" w:eastAsia="zh-CN"/>
        </w:rPr>
      </w:pPr>
      <w:r>
        <w:rPr>
          <w:rFonts w:ascii="Tahoma" w:hAnsi="Tahoma" w:cs="Tahoma"/>
          <w:color w:val="000000"/>
          <w:sz w:val="21"/>
          <w:lang w:val="en-GB"/>
        </w:rPr>
        <w:drawing>
          <wp:inline distT="0" distB="0" distL="114300" distR="114300">
            <wp:extent cx="1255395" cy="1078230"/>
            <wp:effectExtent l="0" t="0" r="1905" b="7620"/>
            <wp:docPr id="3" name="图片 1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ARNI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ahoma" w:hAnsi="Tahoma" w:eastAsia="宋体" w:cs="Tahoma"/>
          <w:color w:val="000000"/>
          <w:sz w:val="48"/>
          <w:szCs w:val="48"/>
          <w:lang w:eastAsia="zh-CN"/>
        </w:rPr>
      </w:pPr>
    </w:p>
    <w:p>
      <w:pPr>
        <w:pStyle w:val="12"/>
        <w:snapToGrid w:val="0"/>
        <w:spacing w:before="360" w:beforeLines="100" w:after="360" w:afterLines="100" w:line="480" w:lineRule="auto"/>
        <w:jc w:val="both"/>
        <w:rPr>
          <w:rFonts w:ascii="Tahoma" w:hAnsi="Tahoma" w:eastAsia="DFKai-SB" w:cs="Tahoma"/>
          <w:b/>
          <w:sz w:val="32"/>
          <w:szCs w:val="32"/>
          <w:lang w:eastAsia="zh-CN"/>
        </w:rPr>
      </w:pPr>
      <w:r>
        <w:rPr>
          <w:rFonts w:hint="eastAsia" w:ascii="Tahoma" w:hAnsi="Tahoma" w:eastAsia="宋体" w:cs="Tahoma"/>
          <w:b/>
          <w:sz w:val="32"/>
          <w:szCs w:val="32"/>
          <w:lang w:eastAsia="zh-CN"/>
        </w:rPr>
        <w:t>请确实遵守本手册所述的所有警告事项和操作指示。请将本手册存放在适当的位置，以便在进行安装之前能确实详阅以下注意事项。在操作本产品之前，请务必详阅所有安全事项和操作指示。</w:t>
      </w: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</w:p>
    <w:tbl>
      <w:tblPr>
        <w:tblStyle w:val="5"/>
        <w:tblW w:w="3000" w:type="pct"/>
        <w:tblInd w:w="0" w:type="dxa"/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3" w:type="dxa"/>
            <w:shd w:val="clear" w:color="auto" w:fill="A6A6A6"/>
            <w:vAlign w:val="top"/>
          </w:tcPr>
          <w:p>
            <w:pPr>
              <w:spacing w:line="240" w:lineRule="auto"/>
              <w:rPr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★ 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前言</w:t>
            </w:r>
          </w:p>
        </w:tc>
      </w:tr>
    </w:tbl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感谢您购买本系列</w:t>
      </w: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，该系列含有短路保护、滤波、自动关机等功能，大大增强了对您设备的保护安全性！请仔细阅读说明，以免在使用过程中出错。</w:t>
      </w:r>
    </w:p>
    <w:p>
      <w:pPr>
        <w:rPr>
          <w:rFonts w:hint="eastAsia" w:ascii="宋体" w:hAnsi="宋体" w:eastAsia="宋体"/>
          <w:sz w:val="20"/>
          <w:szCs w:val="20"/>
        </w:rPr>
      </w:pPr>
    </w:p>
    <w:tbl>
      <w:tblPr>
        <w:tblStyle w:val="5"/>
        <w:tblW w:w="3000" w:type="pct"/>
        <w:tblInd w:w="0" w:type="dxa"/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3" w:type="dxa"/>
            <w:shd w:val="clear" w:color="auto" w:fill="A6A6A6"/>
            <w:vAlign w:val="top"/>
          </w:tcPr>
          <w:p>
            <w:pPr>
              <w:spacing w:line="240" w:lineRule="auto"/>
              <w:rPr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★ 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安全注意事项</w:t>
            </w:r>
          </w:p>
        </w:tc>
      </w:tr>
    </w:tbl>
    <w:p>
      <w:pPr>
        <w:rPr>
          <w:rFonts w:hint="eastAsia"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为确保安全使用，请遵守下列事项：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本产品特为个人电脑设计，不推荐使用于生命支持系统和其他特定的重要设备。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请勿超过额定负载使用。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内有大容量蓄电池，绝不可打开外壳，否则会导致触电等危险，如需内部检修、更换蓄电池，请交付指定的维修点。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如果内部短路会导致电击或着火的危险，故不得将装有液体的容器放置于</w:t>
      </w: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上方，以免导致触电等危险。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万一机器冒烟，请迅速切断电源，并与经销商联系。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请勿在以下环境保管或使用本产品：</w:t>
      </w:r>
    </w:p>
    <w:p>
      <w:pPr>
        <w:tabs>
          <w:tab w:val="left" w:pos="426"/>
        </w:tabs>
        <w:ind w:left="426" w:hanging="426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◆有可燃性气体、腐蚀性物质、大量灰尘的场所</w:t>
      </w:r>
    </w:p>
    <w:p>
      <w:pPr>
        <w:tabs>
          <w:tab w:val="left" w:pos="426"/>
        </w:tabs>
        <w:ind w:left="426" w:hanging="426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◆异常高温或低温（</w:t>
      </w:r>
      <w:r>
        <w:rPr>
          <w:rFonts w:ascii="宋体" w:hAnsi="宋体" w:eastAsia="宋体" w:cs="Tahoma"/>
          <w:sz w:val="18"/>
          <w:szCs w:val="18"/>
        </w:rPr>
        <w:t>40°C</w:t>
      </w:r>
      <w:r>
        <w:rPr>
          <w:rFonts w:hint="eastAsia" w:ascii="宋体" w:hAnsi="宋体" w:eastAsia="宋体"/>
          <w:sz w:val="18"/>
          <w:szCs w:val="18"/>
        </w:rPr>
        <w:t>以上或</w:t>
      </w:r>
      <w:r>
        <w:rPr>
          <w:rFonts w:ascii="宋体" w:hAnsi="宋体" w:eastAsia="宋体" w:cs="Tahoma"/>
          <w:sz w:val="18"/>
          <w:szCs w:val="18"/>
        </w:rPr>
        <w:t>0°C</w:t>
      </w:r>
      <w:r>
        <w:rPr>
          <w:rFonts w:hint="eastAsia" w:ascii="宋体" w:hAnsi="宋体" w:eastAsia="宋体"/>
          <w:sz w:val="18"/>
          <w:szCs w:val="18"/>
        </w:rPr>
        <w:t>以下），高湿度（90%以上）的场所</w:t>
      </w:r>
    </w:p>
    <w:p>
      <w:pPr>
        <w:tabs>
          <w:tab w:val="left" w:pos="426"/>
        </w:tabs>
        <w:ind w:left="426" w:hanging="426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◆有阳光直射或接近加热器具的场所</w:t>
      </w:r>
    </w:p>
    <w:p>
      <w:pPr>
        <w:tabs>
          <w:tab w:val="left" w:pos="426"/>
        </w:tabs>
        <w:ind w:left="426" w:hanging="426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◆有剧烈震动的场所</w:t>
      </w:r>
    </w:p>
    <w:p>
      <w:pPr>
        <w:tabs>
          <w:tab w:val="left" w:pos="426"/>
        </w:tabs>
        <w:ind w:left="426" w:hanging="426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◆室外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万一</w:t>
      </w: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周围失火，请</w:t>
      </w:r>
      <w:bookmarkStart w:id="4" w:name="_GoBack"/>
      <w:bookmarkEnd w:id="4"/>
      <w:r>
        <w:rPr>
          <w:rFonts w:hint="eastAsia" w:ascii="宋体" w:hAnsi="宋体" w:eastAsia="宋体"/>
          <w:sz w:val="18"/>
          <w:szCs w:val="18"/>
        </w:rPr>
        <w:t>用干粉灭火器。使用液体灭火器有导致触电的危险。</w:t>
      </w:r>
    </w:p>
    <w:p>
      <w:pPr>
        <w:numPr>
          <w:ilvl w:val="0"/>
          <w:numId w:val="1"/>
        </w:numPr>
        <w:tabs>
          <w:tab w:val="left" w:pos="426"/>
          <w:tab w:val="clear" w:pos="690"/>
        </w:tabs>
        <w:ind w:left="426" w:hanging="426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请将插座放在</w:t>
      </w: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附近，以便紧急情况时能拔掉插座，切断电源</w:t>
      </w:r>
    </w:p>
    <w:p>
      <w:pPr>
        <w:numPr>
          <w:ilvl w:val="0"/>
          <w:numId w:val="0"/>
        </w:numPr>
        <w:tabs>
          <w:tab w:val="left" w:pos="426"/>
        </w:tabs>
        <w:ind w:leftChars="0"/>
        <w:rPr>
          <w:rFonts w:ascii="宋体" w:hAnsi="宋体" w:eastAsia="宋体"/>
          <w:sz w:val="16"/>
          <w:szCs w:val="16"/>
        </w:rPr>
      </w:pPr>
    </w:p>
    <w:tbl>
      <w:tblPr>
        <w:tblStyle w:val="5"/>
        <w:tblW w:w="3000" w:type="pct"/>
        <w:tblInd w:w="0" w:type="dxa"/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3" w:type="dxa"/>
            <w:shd w:val="clear" w:color="auto" w:fill="A6A6A6"/>
            <w:vAlign w:val="top"/>
          </w:tcPr>
          <w:p>
            <w:pPr>
              <w:rPr>
                <w:rFonts w:hint="default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★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安装及使用</w:t>
            </w:r>
          </w:p>
        </w:tc>
      </w:tr>
    </w:tbl>
    <w:p>
      <w:pPr>
        <w:rPr>
          <w:rFonts w:hint="eastAsia" w:ascii="Tahoma" w:hAnsi="Tahoma" w:eastAsia="宋体" w:cs="Tahoma"/>
          <w:b/>
          <w:sz w:val="20"/>
          <w:szCs w:val="20"/>
          <w:lang w:eastAsia="zh-CN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hint="eastAsia" w:ascii="Tahoma" w:hAnsi="Tahoma" w:eastAsia="宋体" w:cs="Tahoma"/>
          <w:b/>
          <w:sz w:val="18"/>
          <w:szCs w:val="18"/>
          <w:lang w:eastAsia="zh-CN"/>
        </w:rPr>
        <w:t>①包装检查</w:t>
      </w:r>
    </w:p>
    <w:p>
      <w:pPr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  <w:lang w:eastAsia="zh-CN"/>
        </w:rPr>
        <w:t>打开包装，包装内应有：</w:t>
      </w:r>
    </w:p>
    <w:p>
      <w:pPr>
        <w:numPr>
          <w:ilvl w:val="0"/>
          <w:numId w:val="2"/>
        </w:num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 xml:space="preserve">UPS 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整机</w:t>
      </w:r>
      <w:r>
        <w:rPr>
          <w:rFonts w:hint="eastAsia" w:ascii="宋体" w:hAnsi="宋体" w:eastAsia="宋体" w:cs="Arial"/>
          <w:sz w:val="18"/>
          <w:szCs w:val="18"/>
        </w:rPr>
        <w:t xml:space="preserve">      </w:t>
      </w:r>
    </w:p>
    <w:p>
      <w:pPr>
        <w:numPr>
          <w:ilvl w:val="0"/>
          <w:numId w:val="2"/>
        </w:num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  <w:lang w:eastAsia="zh-CN"/>
        </w:rPr>
        <w:t>说明书</w:t>
      </w:r>
    </w:p>
    <w:p>
      <w:pPr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eastAsia="zh-CN"/>
        </w:rPr>
        <w:t>取出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UPS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检查本机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eastAsia="zh-CN"/>
        </w:rPr>
        <w:t>有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否在运输中损坏。如有损坏或部件缺少，请勿开机，并告知承运商或经销商。</w:t>
      </w:r>
    </w:p>
    <w:p>
      <w:pPr>
        <w:rPr>
          <w:rFonts w:ascii="Tahoma" w:hAnsi="Tahoma" w:cs="Tahoma"/>
          <w:b/>
          <w:sz w:val="18"/>
          <w:szCs w:val="18"/>
          <w:lang w:eastAsia="zh-CN"/>
        </w:rPr>
      </w:pPr>
      <w:r>
        <w:rPr>
          <w:rFonts w:hint="eastAsia" w:ascii="宋体" w:hAnsi="宋体" w:eastAsia="宋体" w:cs="Tahoma"/>
          <w:b/>
          <w:sz w:val="18"/>
          <w:szCs w:val="18"/>
        </w:rPr>
        <w:t>②</w:t>
      </w:r>
      <w:r>
        <w:rPr>
          <w:rFonts w:hint="eastAsia" w:ascii="Tahoma" w:hAnsi="Tahoma" w:cs="Tahoma"/>
          <w:b/>
          <w:sz w:val="18"/>
          <w:szCs w:val="18"/>
        </w:rPr>
        <w:t>UPS</w:t>
      </w:r>
      <w:r>
        <w:rPr>
          <w:rFonts w:hint="eastAsia" w:ascii="Tahoma" w:hAnsi="Tahoma" w:eastAsia="宋体" w:cs="Tahoma"/>
          <w:b/>
          <w:sz w:val="18"/>
          <w:szCs w:val="18"/>
          <w:lang w:eastAsia="zh-CN"/>
        </w:rPr>
        <w:t>安置</w:t>
      </w:r>
    </w:p>
    <w:p>
      <w:pPr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将UPS置于适当位置（参见安全注意事项第6条）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。</w:t>
      </w:r>
    </w:p>
    <w:p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hint="eastAsia" w:ascii="Tahoma" w:hAnsi="Tahoma" w:eastAsia="宋体" w:cs="Tahoma"/>
          <w:b/>
          <w:sz w:val="18"/>
          <w:szCs w:val="18"/>
        </w:rPr>
        <w:t>③市电连接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Arial"/>
          <w:sz w:val="18"/>
          <w:szCs w:val="18"/>
          <w:lang w:eastAsia="zh-CN"/>
        </w:rPr>
      </w:pPr>
      <w:r>
        <w:rPr>
          <w:rFonts w:hint="eastAsia" w:ascii="宋体" w:hAnsi="宋体" w:eastAsia="宋体" w:cs="Arial"/>
          <w:sz w:val="18"/>
          <w:szCs w:val="18"/>
          <w:lang w:eastAsia="zh-CN"/>
        </w:rPr>
        <w:t>当</w:t>
      </w:r>
      <w:r>
        <w:rPr>
          <w:rFonts w:hint="eastAsia" w:ascii="宋体" w:hAnsi="宋体" w:eastAsia="宋体" w:cs="Arial"/>
          <w:sz w:val="18"/>
          <w:szCs w:val="18"/>
        </w:rPr>
        <w:t>输入电源线将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UPS</w:t>
      </w:r>
      <w:r>
        <w:rPr>
          <w:rFonts w:hint="eastAsia" w:ascii="宋体" w:hAnsi="宋体" w:eastAsia="宋体" w:cs="Arial"/>
          <w:sz w:val="18"/>
          <w:szCs w:val="18"/>
        </w:rPr>
        <w:t>机器与市电连接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时，开始给电池充电。最好的使用方法是先将电池充电至少6小时后再使用。</w:t>
      </w:r>
    </w:p>
    <w:p>
      <w:pPr>
        <w:adjustRightInd w:val="0"/>
        <w:snapToGrid w:val="0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hint="eastAsia" w:ascii="Tahoma" w:hAnsi="Tahoma" w:eastAsia="宋体" w:cs="Tahoma"/>
          <w:b/>
          <w:sz w:val="18"/>
          <w:szCs w:val="18"/>
          <w:lang w:eastAsia="zh-CN"/>
        </w:rPr>
        <w:t>④连接设备</w:t>
      </w:r>
    </w:p>
    <w:p>
      <w:pPr>
        <w:adjustRightInd w:val="0"/>
        <w:snapToGrid w:val="0"/>
        <w:spacing w:line="360" w:lineRule="auto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  <w:lang w:eastAsia="zh-CN"/>
        </w:rPr>
        <w:t>将使用设备的输入线连接到UPS后备板上的稳压电池输出插座上。</w:t>
      </w:r>
      <w:r>
        <w:rPr>
          <w:rFonts w:ascii="宋体" w:hAnsi="宋体" w:eastAsia="宋体" w:cs="Arial"/>
          <w:sz w:val="18"/>
          <w:szCs w:val="1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eastAsia="宋体" w:cs="Arial"/>
          <w:sz w:val="18"/>
          <w:szCs w:val="18"/>
          <w:lang w:eastAsia="zh-CN"/>
        </w:rPr>
      </w:pPr>
      <w:r>
        <w:rPr>
          <w:rFonts w:hint="eastAsia" w:ascii="宋体" w:hAnsi="宋体" w:eastAsia="宋体" w:cs="Arial"/>
          <w:b/>
          <w:sz w:val="18"/>
          <w:szCs w:val="18"/>
          <w:lang w:eastAsia="zh-CN"/>
        </w:rPr>
        <w:t>提醒</w:t>
      </w:r>
      <w:r>
        <w:rPr>
          <w:rFonts w:ascii="宋体" w:hAnsi="宋体" w:eastAsia="宋体" w:cs="Arial"/>
          <w:b/>
          <w:sz w:val="18"/>
          <w:szCs w:val="18"/>
        </w:rPr>
        <w:t xml:space="preserve">: </w:t>
      </w:r>
      <w:r>
        <w:rPr>
          <w:rFonts w:hint="eastAsia" w:ascii="宋体" w:hAnsi="宋体" w:eastAsia="宋体" w:cs="Arial"/>
          <w:b/>
          <w:sz w:val="18"/>
          <w:szCs w:val="18"/>
          <w:lang w:eastAsia="zh-CN"/>
        </w:rPr>
        <w:t>请确认UPS是开机状态，以确保市电断电时UPS可以保护所连接重要设备的数据，防止丢失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。</w:t>
      </w:r>
    </w:p>
    <w:p>
      <w:pPr>
        <w:spacing w:line="360" w:lineRule="auto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b/>
          <w:sz w:val="18"/>
          <w:szCs w:val="18"/>
          <w:lang w:eastAsia="zh-CN"/>
        </w:rPr>
        <w:t>注意</w:t>
      </w:r>
      <w:r>
        <w:rPr>
          <w:rFonts w:ascii="宋体" w:hAnsi="宋体" w:eastAsia="宋体" w:cs="Arial"/>
          <w:b/>
          <w:sz w:val="18"/>
          <w:szCs w:val="18"/>
        </w:rPr>
        <w:t xml:space="preserve">: </w:t>
      </w:r>
      <w:r>
        <w:rPr>
          <w:rFonts w:hint="eastAsia" w:ascii="宋体" w:hAnsi="宋体" w:eastAsia="宋体" w:cs="Arial"/>
          <w:b/>
          <w:sz w:val="18"/>
          <w:szCs w:val="18"/>
          <w:lang w:eastAsia="zh-CN"/>
        </w:rPr>
        <w:t>不要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在UPS稳压电池输出插座上连接打印机或扫描器，</w:t>
      </w:r>
      <w:r>
        <w:rPr>
          <w:rFonts w:ascii="宋体" w:hAnsi="宋体" w:eastAsia="宋体" w:cs="Arial"/>
          <w:sz w:val="18"/>
          <w:szCs w:val="18"/>
        </w:rPr>
        <w:t xml:space="preserve"> 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这些设备将会明显使UPS的负荷超载导致不能正常工作。</w:t>
      </w:r>
    </w:p>
    <w:p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⑤</w:t>
      </w:r>
      <w:r>
        <w:rPr>
          <w:rFonts w:hint="eastAsia" w:ascii="Tahoma" w:hAnsi="Tahoma" w:eastAsia="宋体" w:cs="Tahoma"/>
          <w:b/>
          <w:sz w:val="18"/>
          <w:szCs w:val="18"/>
          <w:lang w:eastAsia="zh-CN"/>
        </w:rPr>
        <w:t>开启</w:t>
      </w:r>
      <w:r>
        <w:rPr>
          <w:rFonts w:hint="eastAsia" w:ascii="Tahoma" w:hAnsi="Tahoma" w:cs="Tahoma"/>
          <w:b/>
          <w:sz w:val="18"/>
          <w:szCs w:val="18"/>
        </w:rPr>
        <w:t>UPS</w:t>
      </w:r>
    </w:p>
    <w:p>
      <w:pPr>
        <w:adjustRightInd w:val="0"/>
        <w:snapToGrid w:val="0"/>
        <w:spacing w:line="360" w:lineRule="auto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  <w:lang w:eastAsia="zh-CN"/>
        </w:rPr>
        <w:t>开启UPS机器时，轻按开关按键，指示灯亮起即可。</w:t>
      </w:r>
    </w:p>
    <w:p>
      <w:pPr>
        <w:adjustRightInd w:val="0"/>
        <w:snapToGrid w:val="0"/>
        <w:spacing w:line="360" w:lineRule="auto"/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本机器具有直流开机功能，不需要市电就可以直接启动</w:t>
      </w:r>
      <w:r>
        <w:rPr>
          <w:rFonts w:ascii="宋体" w:hAnsi="宋体" w:eastAsia="宋体" w:cs="Tahoma"/>
          <w:sz w:val="18"/>
          <w:szCs w:val="18"/>
          <w:lang w:eastAsia="zh-CN"/>
        </w:rPr>
        <w:t>UPS</w:t>
      </w:r>
      <w:r>
        <w:rPr>
          <w:rFonts w:hint="eastAsia" w:ascii="宋体" w:hAnsi="宋体" w:eastAsia="宋体"/>
          <w:sz w:val="18"/>
          <w:szCs w:val="18"/>
          <w:lang w:eastAsia="zh-CN"/>
        </w:rPr>
        <w:t>，方便使用</w:t>
      </w:r>
      <w:r>
        <w:rPr>
          <w:rFonts w:hint="eastAsia" w:ascii="Arial" w:hAnsi="Arial" w:eastAsia="宋体" w:cs="Arial"/>
          <w:sz w:val="18"/>
          <w:szCs w:val="18"/>
          <w:lang w:eastAsia="zh-CN"/>
        </w:rPr>
        <w:t>。</w:t>
      </w:r>
    </w:p>
    <w:p>
      <w:pPr>
        <w:rPr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一旦市电中断，</w:t>
      </w: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却转入后备供电，请及时对个人电脑其他负载作存盘或其他断电应急处理。市电恢复后，请及时开启</w:t>
      </w:r>
      <w:r>
        <w:rPr>
          <w:rFonts w:ascii="宋体" w:hAnsi="宋体" w:eastAsia="宋体" w:cs="Tahoma"/>
          <w:sz w:val="18"/>
          <w:szCs w:val="18"/>
        </w:rPr>
        <w:t>UPS</w:t>
      </w:r>
      <w:r>
        <w:rPr>
          <w:rFonts w:hint="eastAsia" w:ascii="宋体" w:hAnsi="宋体" w:eastAsia="宋体"/>
          <w:sz w:val="18"/>
          <w:szCs w:val="18"/>
        </w:rPr>
        <w:t>，使电池充电</w:t>
      </w:r>
      <w:r>
        <w:rPr>
          <w:rFonts w:hint="eastAsia"/>
          <w:sz w:val="18"/>
          <w:szCs w:val="18"/>
        </w:rPr>
        <w:t>。</w:t>
      </w:r>
    </w:p>
    <w:p>
      <w:pPr>
        <w:rPr>
          <w:sz w:val="18"/>
          <w:szCs w:val="18"/>
        </w:rPr>
      </w:pPr>
      <w:r>
        <w:rPr>
          <w:rFonts w:hint="eastAsia" w:ascii="Arial" w:hAnsi="Arial" w:eastAsia="宋体" w:cs="Arial"/>
          <w:sz w:val="18"/>
          <w:szCs w:val="18"/>
          <w:lang w:eastAsia="zh-CN"/>
        </w:rPr>
        <w:t>⑥</w:t>
      </w:r>
      <w:r>
        <w:rPr>
          <w:rFonts w:hint="eastAsia" w:eastAsia="宋体"/>
          <w:sz w:val="18"/>
          <w:szCs w:val="18"/>
          <w:lang w:eastAsia="zh-CN"/>
        </w:rPr>
        <w:t>关闭</w:t>
      </w:r>
      <w:r>
        <w:rPr>
          <w:rFonts w:hint="eastAsia"/>
          <w:sz w:val="18"/>
          <w:szCs w:val="18"/>
        </w:rPr>
        <w:t>UPS</w:t>
      </w:r>
    </w:p>
    <w:p>
      <w:pPr>
        <w:adjustRightInd w:val="0"/>
        <w:snapToGrid w:val="0"/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sz w:val="18"/>
          <w:szCs w:val="18"/>
          <w:lang w:eastAsia="zh-CN"/>
        </w:rPr>
        <w:t>关闭UPS机器时，再按开关按键，指示灯灭掉即可。</w:t>
      </w:r>
    </w:p>
    <w:p>
      <w:pPr>
        <w:rPr>
          <w:b/>
          <w:sz w:val="18"/>
          <w:szCs w:val="18"/>
          <w:lang w:eastAsia="zh-CN"/>
        </w:rPr>
      </w:pPr>
      <w:r>
        <w:rPr>
          <w:rFonts w:hint="eastAsia"/>
          <w:b/>
          <w:sz w:val="18"/>
          <w:szCs w:val="18"/>
        </w:rPr>
        <w:t>注意：</w:t>
      </w:r>
    </w:p>
    <w:p>
      <w:pPr>
        <w:numPr>
          <w:ilvl w:val="0"/>
          <w:numId w:val="3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开机时请先启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UPS</w:t>
      </w:r>
      <w:r>
        <w:rPr>
          <w:rFonts w:hint="eastAsia" w:ascii="宋体" w:hAnsi="宋体" w:eastAsia="宋体"/>
          <w:sz w:val="18"/>
          <w:szCs w:val="18"/>
        </w:rPr>
        <w:t>再开启电脑等负载，关机时先关闭负载再关闭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UPS</w:t>
      </w:r>
      <w:r>
        <w:rPr>
          <w:rFonts w:hint="eastAsia" w:ascii="宋体" w:hAnsi="宋体" w:eastAsia="宋体"/>
          <w:sz w:val="18"/>
          <w:szCs w:val="18"/>
        </w:rPr>
        <w:t>。</w:t>
      </w:r>
    </w:p>
    <w:p>
      <w:pPr>
        <w:numPr>
          <w:ilvl w:val="0"/>
          <w:numId w:val="3"/>
        </w:numPr>
        <w:tabs>
          <w:tab w:val="left" w:pos="426"/>
          <w:tab w:val="clear" w:pos="690"/>
        </w:tabs>
        <w:ind w:left="426" w:hanging="426"/>
        <w:jc w:val="both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般情况下建议不关闭</w:t>
      </w:r>
      <w:r>
        <w:rPr>
          <w:rFonts w:hint="eastAsia" w:ascii="宋体" w:hAnsi="宋体" w:eastAsia="宋体" w:cs="Arial"/>
          <w:sz w:val="18"/>
          <w:szCs w:val="18"/>
          <w:lang w:eastAsia="zh-CN"/>
        </w:rPr>
        <w:t>UPS</w:t>
      </w:r>
      <w:r>
        <w:rPr>
          <w:rFonts w:hint="eastAsia" w:ascii="宋体" w:hAnsi="宋体" w:eastAsia="宋体"/>
          <w:sz w:val="18"/>
          <w:szCs w:val="18"/>
        </w:rPr>
        <w:t>，以保持电池充电。</w:t>
      </w:r>
    </w:p>
    <w:p>
      <w:pPr>
        <w:numPr>
          <w:ilvl w:val="0"/>
          <w:numId w:val="3"/>
        </w:numPr>
        <w:tabs>
          <w:tab w:val="left" w:pos="426"/>
          <w:tab w:val="clear" w:pos="690"/>
        </w:tabs>
        <w:ind w:left="426" w:hanging="426"/>
        <w:jc w:val="both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如果操作中存在问题，请参考本文异常状况处理，如不能处理</w:t>
      </w:r>
      <w:r>
        <w:rPr>
          <w:rFonts w:ascii="宋体" w:hAnsi="宋体" w:eastAsia="宋体"/>
          <w:sz w:val="18"/>
          <w:szCs w:val="18"/>
        </w:rPr>
        <w:t xml:space="preserve"> </w:t>
      </w:r>
      <w:r>
        <w:rPr>
          <w:rFonts w:hint="eastAsia" w:ascii="宋体" w:hAnsi="宋体" w:eastAsia="宋体"/>
          <w:sz w:val="18"/>
          <w:szCs w:val="18"/>
        </w:rPr>
        <w:t>请马上联系专业客户服务处理</w:t>
      </w:r>
    </w:p>
    <w:p>
      <w:pPr>
        <w:tabs>
          <w:tab w:val="left" w:pos="426"/>
          <w:tab w:val="left" w:pos="690"/>
        </w:tabs>
        <w:ind w:left="426"/>
        <w:jc w:val="both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 w:cs="Arial"/>
          <w:kern w:val="0"/>
          <w:sz w:val="18"/>
          <w:szCs w:val="18"/>
          <w:lang w:eastAsia="zh-CN"/>
        </w:rPr>
        <w:t>扫描机身二维码获取联系方式</w:t>
      </w:r>
    </w:p>
    <w:p>
      <w:pPr>
        <w:rPr>
          <w:b/>
          <w:sz w:val="20"/>
          <w:szCs w:val="20"/>
        </w:rPr>
      </w:pPr>
    </w:p>
    <w:p>
      <w:pPr>
        <w:rPr>
          <w:rFonts w:hint="eastAsia" w:ascii="宋体" w:hAnsi="宋体" w:eastAsia="宋体"/>
          <w:b/>
          <w:sz w:val="18"/>
          <w:szCs w:val="18"/>
          <w:lang w:eastAsia="zh-CN"/>
        </w:rPr>
      </w:pPr>
    </w:p>
    <w:p>
      <w:pPr>
        <w:rPr>
          <w:rFonts w:hint="eastAsia" w:ascii="宋体" w:hAnsi="宋体" w:eastAsia="宋体"/>
          <w:b/>
          <w:sz w:val="20"/>
          <w:szCs w:val="20"/>
          <w:lang w:eastAsia="zh-CN"/>
        </w:rPr>
      </w:pPr>
      <w:r>
        <w:rPr>
          <w:rFonts w:hint="eastAsia" w:ascii="宋体" w:hAnsi="宋体" w:eastAsia="宋体" w:cs="Arial"/>
          <w:spacing w:val="5360"/>
          <w:kern w:val="0"/>
          <w:sz w:val="16"/>
          <w:szCs w:val="16"/>
          <w:fitText w:val="5440" w:id="-2090569728"/>
          <w:lang w:eastAsia="zh-CN"/>
        </w:rPr>
        <w:t>*</w:t>
      </w:r>
      <w:r>
        <w:rPr>
          <w:rFonts w:hint="eastAsia" w:ascii="宋体" w:hAnsi="宋体" w:eastAsia="宋体"/>
          <w:b/>
          <w:sz w:val="20"/>
          <w:szCs w:val="20"/>
          <w:lang w:eastAsia="zh-CN"/>
        </w:rPr>
        <w:t xml:space="preserve"> </w:t>
      </w:r>
    </w:p>
    <w:p>
      <w:pPr>
        <w:rPr>
          <w:rFonts w:hint="eastAsia" w:ascii="宋体" w:hAnsi="宋体" w:eastAsia="宋体"/>
          <w:b/>
          <w:sz w:val="20"/>
          <w:szCs w:val="20"/>
          <w:lang w:eastAsia="zh-CN"/>
        </w:rPr>
      </w:pPr>
      <w:r>
        <w:rPr>
          <w:rFonts w:hint="eastAsia" w:ascii="宋体" w:hAnsi="宋体" w:eastAsia="宋体"/>
          <w:b/>
          <w:sz w:val="20"/>
          <w:szCs w:val="20"/>
        </w:rPr>
        <w:t>蜂鸣器声及指示灯含义</w:t>
      </w:r>
    </w:p>
    <w:p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指示灯</w:t>
      </w:r>
      <w:r>
        <w:rPr>
          <w:rFonts w:hint="eastAsia" w:asciiTheme="minorEastAsia" w:hAnsiTheme="minorEastAsia" w:eastAsiaTheme="minorEastAsia"/>
          <w:sz w:val="20"/>
          <w:szCs w:val="20"/>
        </w:rPr>
        <w:t>（单灯）</w:t>
      </w:r>
      <w:r>
        <w:rPr>
          <w:rFonts w:hint="eastAsia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●</w:t>
      </w:r>
      <w:r>
        <w:rPr>
          <w:rFonts w:hint="eastAsia"/>
          <w:sz w:val="20"/>
          <w:szCs w:val="20"/>
        </w:rPr>
        <w:t xml:space="preserve">亮○灭 </w:t>
      </w:r>
      <w:r>
        <w:rPr>
          <w:rFonts w:hint="eastAsia" w:ascii="宋体" w:hAnsi="宋体"/>
          <w:sz w:val="20"/>
          <w:szCs w:val="20"/>
        </w:rPr>
        <w:t>★</w:t>
      </w:r>
      <w:r>
        <w:rPr>
          <w:rFonts w:hint="eastAsia"/>
          <w:sz w:val="20"/>
          <w:szCs w:val="20"/>
        </w:rPr>
        <w:t>闪烁</w:t>
      </w:r>
    </w:p>
    <w:tbl>
      <w:tblPr>
        <w:tblStyle w:val="5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13"/>
        <w:gridCol w:w="1972"/>
        <w:gridCol w:w="278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6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指示灯</w:t>
            </w:r>
          </w:p>
        </w:tc>
        <w:tc>
          <w:tcPr>
            <w:tcW w:w="1313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蜂鸣器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声</w:t>
            </w:r>
          </w:p>
        </w:tc>
        <w:tc>
          <w:tcPr>
            <w:tcW w:w="1972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输出</w:t>
            </w:r>
          </w:p>
        </w:tc>
        <w:tc>
          <w:tcPr>
            <w:tcW w:w="2780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说明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●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输入市电正常，UPS运行正常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★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10秒一叫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输入市电中断，UPS由电池供电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★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1秒一叫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UPS电池供电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eastAsia="zh-CN"/>
              </w:rPr>
              <w:t>达低电位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○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停止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电源开关闭，UPS停止运行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●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长鸣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停止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UPS</w:t>
            </w: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发生故障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故障</w:t>
            </w:r>
          </w:p>
        </w:tc>
      </w:tr>
    </w:tbl>
    <w:p>
      <w:pPr>
        <w:rPr>
          <w:rFonts w:hint="eastAsia"/>
          <w:sz w:val="20"/>
          <w:szCs w:val="20"/>
        </w:rPr>
      </w:pPr>
      <w:bookmarkStart w:id="0" w:name="_Hlk34927083"/>
    </w:p>
    <w:p>
      <w:pPr>
        <w:spacing w:line="36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指示灯</w:t>
      </w:r>
      <w:r>
        <w:rPr>
          <w:rFonts w:hint="eastAsia" w:asciiTheme="minorEastAsia" w:hAnsiTheme="minorEastAsia" w:eastAsiaTheme="minorEastAsia"/>
          <w:sz w:val="20"/>
          <w:szCs w:val="20"/>
        </w:rPr>
        <w:t>（三个灯）</w:t>
      </w:r>
      <w:r>
        <w:rPr>
          <w:rFonts w:hint="eastAsia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●</w:t>
      </w:r>
      <w:r>
        <w:rPr>
          <w:rFonts w:hint="eastAsia"/>
          <w:sz w:val="20"/>
          <w:szCs w:val="20"/>
        </w:rPr>
        <w:t xml:space="preserve">亮○灭 </w:t>
      </w:r>
      <w:r>
        <w:rPr>
          <w:rFonts w:hint="eastAsia" w:ascii="宋体" w:hAnsi="宋体"/>
          <w:sz w:val="20"/>
          <w:szCs w:val="20"/>
        </w:rPr>
        <w:t>★</w:t>
      </w:r>
      <w:r>
        <w:rPr>
          <w:rFonts w:hint="eastAsia"/>
          <w:sz w:val="20"/>
          <w:szCs w:val="20"/>
        </w:rPr>
        <w:t>闪烁</w:t>
      </w:r>
    </w:p>
    <w:bookmarkEnd w:id="0"/>
    <w:tbl>
      <w:tblPr>
        <w:tblStyle w:val="5"/>
        <w:tblW w:w="88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314"/>
        <w:gridCol w:w="1972"/>
        <w:gridCol w:w="277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7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指示灯</w:t>
            </w:r>
          </w:p>
        </w:tc>
        <w:tc>
          <w:tcPr>
            <w:tcW w:w="1314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蜂鸣器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声</w:t>
            </w:r>
          </w:p>
        </w:tc>
        <w:tc>
          <w:tcPr>
            <w:tcW w:w="1972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输出</w:t>
            </w:r>
          </w:p>
        </w:tc>
        <w:tc>
          <w:tcPr>
            <w:tcW w:w="2779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说明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绿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  <w:tc>
          <w:tcPr>
            <w:tcW w:w="2779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输入市电正常，UPS运行正常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★黄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10秒一叫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  <w:tc>
          <w:tcPr>
            <w:tcW w:w="2779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输入市电中断，UPS由电池供电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bookmarkStart w:id="1" w:name="_Hlk34926990"/>
            <w:r>
              <w:rPr>
                <w:rFonts w:hint="eastAsia" w:ascii="宋体" w:hAnsi="宋体" w:eastAsia="宋体"/>
                <w:sz w:val="16"/>
                <w:szCs w:val="16"/>
              </w:rPr>
              <w:t>★黄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1秒一叫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  <w:tc>
          <w:tcPr>
            <w:tcW w:w="2779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UPS电池供电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lang w:eastAsia="zh-CN"/>
              </w:rPr>
              <w:t>达低电位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正常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bookmarkStart w:id="2" w:name="_Hlk34927202"/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停止</w:t>
            </w:r>
          </w:p>
        </w:tc>
        <w:tc>
          <w:tcPr>
            <w:tcW w:w="2779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电源开关闭，UPS停止运行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停机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●红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长鸣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停止</w:t>
            </w:r>
          </w:p>
        </w:tc>
        <w:tc>
          <w:tcPr>
            <w:tcW w:w="2779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UPS</w:t>
            </w: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发生故障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故障</w:t>
            </w:r>
          </w:p>
        </w:tc>
      </w:tr>
    </w:tbl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</w:p>
    <w:p>
      <w:pPr>
        <w:spacing w:line="360" w:lineRule="auto"/>
        <w:rPr>
          <w:rFonts w:ascii="宋体" w:hAnsi="宋体"/>
          <w:b/>
          <w:bCs/>
          <w:sz w:val="20"/>
          <w:szCs w:val="20"/>
        </w:rPr>
      </w:pPr>
      <w:r>
        <w:rPr>
          <w:rFonts w:hint="eastAsia"/>
          <w:sz w:val="20"/>
          <w:szCs w:val="20"/>
        </w:rPr>
        <w:t>★</w:t>
      </w:r>
      <w:r>
        <w:rPr>
          <w:sz w:val="20"/>
          <w:szCs w:val="20"/>
        </w:rPr>
        <w:t xml:space="preserve">  </w:t>
      </w:r>
      <w:r>
        <w:rPr>
          <w:rFonts w:hint="eastAsia" w:ascii="宋体" w:hAnsi="宋体" w:eastAsia="宋体"/>
          <w:b/>
          <w:bCs/>
          <w:sz w:val="20"/>
          <w:szCs w:val="20"/>
        </w:rPr>
        <w:t>异常状况处理</w:t>
      </w:r>
    </w:p>
    <w:tbl>
      <w:tblPr>
        <w:tblStyle w:val="5"/>
        <w:tblW w:w="9229" w:type="dxa"/>
        <w:tblInd w:w="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880"/>
        <w:gridCol w:w="5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Arial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sz w:val="16"/>
                <w:szCs w:val="16"/>
                <w:lang w:eastAsia="zh-CN"/>
              </w:rPr>
              <w:t>问题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Arial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sz w:val="16"/>
                <w:szCs w:val="16"/>
                <w:lang w:eastAsia="zh-CN"/>
              </w:rPr>
              <w:t>可能原因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Arial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sz w:val="16"/>
                <w:szCs w:val="16"/>
                <w:lang w:eastAsia="zh-CN"/>
              </w:rPr>
              <w:t>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ascii="宋体" w:hAnsi="宋体" w:eastAsia="宋体" w:cs="Arial"/>
                <w:sz w:val="16"/>
                <w:szCs w:val="16"/>
              </w:rPr>
              <w:t>LED</w:t>
            </w: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灯不亮</w:t>
            </w:r>
            <w:r>
              <w:rPr>
                <w:rFonts w:ascii="宋体" w:hAnsi="宋体" w:eastAsia="宋体" w:cs="Arial"/>
                <w:sz w:val="16"/>
                <w:szCs w:val="16"/>
              </w:rPr>
              <w:t>.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275" w:hanging="275" w:hangingChars="172"/>
              <w:jc w:val="both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</w:rPr>
              <w:t>UPS没有开机</w:t>
            </w:r>
            <w:r>
              <w:rPr>
                <w:rFonts w:ascii="宋体" w:hAnsi="宋体" w:eastAsia="宋体" w:cs="Arial"/>
                <w:sz w:val="16"/>
                <w:szCs w:val="16"/>
              </w:rPr>
              <w:t>.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</w:rPr>
              <w:t>重新确认按下UPS机器的开关电源</w:t>
            </w:r>
            <w:r>
              <w:rPr>
                <w:rFonts w:ascii="宋体" w:hAnsi="宋体" w:eastAsia="宋体" w:cs="Arial"/>
                <w:sz w:val="16"/>
                <w:szCs w:val="16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275" w:hanging="275" w:hangingChars="172"/>
              <w:jc w:val="both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</w:rPr>
              <w:t>电池电压太低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240" w:lineRule="atLeast"/>
              <w:ind w:left="275" w:hanging="275" w:hangingChars="172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</w:rPr>
              <w:t>将电池充电至少6小时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电池已损坏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2"/>
              <w:jc w:val="both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更换电池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UPS机器总是在电池模式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输入线没有连接好</w:t>
            </w:r>
          </w:p>
        </w:tc>
        <w:tc>
          <w:tcPr>
            <w:tcW w:w="5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重新插紧UPS的输入电源线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UPS机器持续鸣叫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79" w:hanging="179" w:hangingChars="112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负载过载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拔掉部分不必要的负载。重新连接设备前，确定负载设备的型号及容量符合UPS机器的负载规格定义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备份时间太短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电池电压太低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"/>
              <w:jc w:val="both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将电池充电至少6小时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</w:trPr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79" w:hanging="179" w:hangingChars="112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负载过载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"/>
              <w:rPr>
                <w:rFonts w:ascii="宋体" w:hAnsi="宋体" w:eastAsia="宋体" w:cs="Arial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拔掉部分不必要的负载。重新连接设备前，确定负载设备的型号及容量符合UPS机器的负载规格定义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79" w:hanging="179" w:hangingChars="112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电池已损坏</w:t>
            </w:r>
          </w:p>
        </w:tc>
        <w:tc>
          <w:tcPr>
            <w:tcW w:w="5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240" w:lineRule="atLeast"/>
              <w:ind w:left="1"/>
              <w:jc w:val="both"/>
              <w:rPr>
                <w:rFonts w:ascii="宋体" w:hAnsi="宋体" w:eastAsia="宋体" w:cs="Arial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Arial"/>
                <w:sz w:val="16"/>
                <w:szCs w:val="16"/>
                <w:lang w:eastAsia="zh-CN"/>
              </w:rPr>
              <w:t>更换电池</w:t>
            </w:r>
          </w:p>
        </w:tc>
      </w:tr>
    </w:tbl>
    <w:p>
      <w:pP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</w:pPr>
      <w:r>
        <w:rPr>
          <w:rFonts w:ascii="Arial" w:hAnsi="Arial" w:cs="Arial"/>
          <w:sz w:val="18"/>
          <w:szCs w:val="18"/>
        </w:rPr>
        <w:br w:type="column"/>
      </w:r>
    </w:p>
    <w:tbl>
      <w:tblPr>
        <w:tblStyle w:val="5"/>
        <w:tblW w:w="3000" w:type="pct"/>
        <w:tblInd w:w="0" w:type="dxa"/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9"/>
      </w:tblGrid>
      <w:tr>
        <w:tblPrEx>
          <w:shd w:val="clear" w:color="auto" w:fill="A6A6A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3" w:type="dxa"/>
            <w:shd w:val="clear" w:color="auto" w:fill="A6A6A6"/>
            <w:vAlign w:val="top"/>
          </w:tcPr>
          <w:p>
            <w:pPr>
              <w:spacing w:line="240" w:lineRule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★ 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技术参数</w:t>
            </w:r>
          </w:p>
        </w:tc>
      </w:tr>
    </w:tbl>
    <w:p>
      <w:pP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spacing w:line="480" w:lineRule="auto"/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  <w:bookmarkStart w:id="3" w:name="_Hlk34908578"/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22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0V</w:t>
      </w: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铅酸蓄电池后备式U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PS</w:t>
      </w:r>
    </w:p>
    <w:tbl>
      <w:tblPr>
        <w:tblStyle w:val="6"/>
        <w:tblW w:w="49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395"/>
        <w:gridCol w:w="1395"/>
        <w:gridCol w:w="1055"/>
        <w:gridCol w:w="1622"/>
        <w:gridCol w:w="162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5" w:type="pc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机型</w:t>
            </w:r>
          </w:p>
        </w:tc>
        <w:tc>
          <w:tcPr>
            <w:tcW w:w="65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MT500A</w:t>
            </w:r>
          </w:p>
        </w:tc>
        <w:tc>
          <w:tcPr>
            <w:tcW w:w="65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MT650</w:t>
            </w:r>
          </w:p>
        </w:tc>
        <w:tc>
          <w:tcPr>
            <w:tcW w:w="49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MT1000B</w:t>
            </w:r>
          </w:p>
        </w:tc>
        <w:tc>
          <w:tcPr>
            <w:tcW w:w="76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MT1000</w:t>
            </w:r>
          </w:p>
        </w:tc>
        <w:tc>
          <w:tcPr>
            <w:tcW w:w="763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MT1500</w:t>
            </w:r>
          </w:p>
        </w:tc>
        <w:tc>
          <w:tcPr>
            <w:tcW w:w="765" w:type="pc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  <w:tc>
          <w:tcPr>
            <w:tcW w:w="657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500VA/300W</w:t>
            </w:r>
          </w:p>
        </w:tc>
        <w:tc>
          <w:tcPr>
            <w:tcW w:w="657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600VA/360W</w:t>
            </w:r>
          </w:p>
        </w:tc>
        <w:tc>
          <w:tcPr>
            <w:tcW w:w="1261" w:type="pct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1000VA/600W</w:t>
            </w:r>
          </w:p>
        </w:tc>
        <w:tc>
          <w:tcPr>
            <w:tcW w:w="763" w:type="pct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1500VA/900W</w:t>
            </w:r>
          </w:p>
        </w:tc>
        <w:tc>
          <w:tcPr>
            <w:tcW w:w="765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2000VA/1200W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输入电压范围</w:t>
            </w:r>
          </w:p>
        </w:tc>
        <w:tc>
          <w:tcPr>
            <w:tcW w:w="657" w:type="pct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180-270V</w:t>
            </w:r>
          </w:p>
        </w:tc>
        <w:tc>
          <w:tcPr>
            <w:tcW w:w="3447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140-300V 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输出电压</w:t>
            </w:r>
          </w:p>
        </w:tc>
        <w:tc>
          <w:tcPr>
            <w:tcW w:w="4104" w:type="pct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220V±10%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电池模式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转换时间</w:t>
            </w:r>
          </w:p>
        </w:tc>
        <w:tc>
          <w:tcPr>
            <w:tcW w:w="4104" w:type="pct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4-8 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输出波形</w:t>
            </w:r>
          </w:p>
        </w:tc>
        <w:tc>
          <w:tcPr>
            <w:tcW w:w="4104" w:type="pct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模拟正弦波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电池&amp;数量</w:t>
            </w:r>
          </w:p>
        </w:tc>
        <w:tc>
          <w:tcPr>
            <w:tcW w:w="65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4.5AHx1</w:t>
            </w:r>
          </w:p>
        </w:tc>
        <w:tc>
          <w:tcPr>
            <w:tcW w:w="65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7AHx1</w:t>
            </w:r>
          </w:p>
        </w:tc>
        <w:tc>
          <w:tcPr>
            <w:tcW w:w="49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9AHx1</w:t>
            </w:r>
          </w:p>
        </w:tc>
        <w:tc>
          <w:tcPr>
            <w:tcW w:w="76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7AHx2</w:t>
            </w:r>
          </w:p>
        </w:tc>
        <w:tc>
          <w:tcPr>
            <w:tcW w:w="152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9AHx2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充电时间</w:t>
            </w:r>
          </w:p>
        </w:tc>
        <w:tc>
          <w:tcPr>
            <w:tcW w:w="4104" w:type="pct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小时可充满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90%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 (DxWxH)</w:t>
            </w:r>
          </w:p>
        </w:tc>
        <w:tc>
          <w:tcPr>
            <w:tcW w:w="1811" w:type="pct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280*100*144</w:t>
            </w:r>
          </w:p>
        </w:tc>
        <w:tc>
          <w:tcPr>
            <w:tcW w:w="2292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370*138*165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95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(kgs)</w:t>
            </w:r>
          </w:p>
        </w:tc>
        <w:tc>
          <w:tcPr>
            <w:tcW w:w="657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3.3</w:t>
            </w:r>
          </w:p>
        </w:tc>
        <w:tc>
          <w:tcPr>
            <w:tcW w:w="657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</w:t>
            </w:r>
          </w:p>
        </w:tc>
        <w:tc>
          <w:tcPr>
            <w:tcW w:w="497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5.0</w:t>
            </w:r>
          </w:p>
        </w:tc>
        <w:tc>
          <w:tcPr>
            <w:tcW w:w="763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</w:t>
            </w:r>
          </w:p>
        </w:tc>
        <w:tc>
          <w:tcPr>
            <w:tcW w:w="763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11.5</w:t>
            </w:r>
          </w:p>
        </w:tc>
        <w:tc>
          <w:tcPr>
            <w:tcW w:w="765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16.8</w:t>
            </w:r>
          </w:p>
        </w:tc>
      </w:tr>
    </w:tbl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spacing w:line="480" w:lineRule="auto"/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220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V</w:t>
      </w: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锂电池后备式U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PS</w:t>
      </w:r>
      <w:bookmarkEnd w:id="3"/>
    </w:p>
    <w:tbl>
      <w:tblPr>
        <w:tblStyle w:val="6"/>
        <w:tblW w:w="49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810"/>
        <w:gridCol w:w="2726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7" w:type="pc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机型</w:t>
            </w:r>
          </w:p>
        </w:tc>
        <w:tc>
          <w:tcPr>
            <w:tcW w:w="133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LT500</w:t>
            </w:r>
          </w:p>
        </w:tc>
        <w:tc>
          <w:tcPr>
            <w:tcW w:w="1295" w:type="pc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LT100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0(-PRO)</w:t>
            </w:r>
          </w:p>
        </w:tc>
        <w:tc>
          <w:tcPr>
            <w:tcW w:w="1312" w:type="pc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LT1500(-PRO)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  <w:tc>
          <w:tcPr>
            <w:tcW w:w="1335" w:type="pct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600VA/360W</w:t>
            </w:r>
          </w:p>
        </w:tc>
        <w:tc>
          <w:tcPr>
            <w:tcW w:w="1295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1000VA/600W</w:t>
            </w:r>
          </w:p>
        </w:tc>
        <w:tc>
          <w:tcPr>
            <w:tcW w:w="1312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1500VA/900W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输入电压</w:t>
            </w:r>
          </w:p>
        </w:tc>
        <w:tc>
          <w:tcPr>
            <w:tcW w:w="3942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输入电压范围</w:t>
            </w:r>
          </w:p>
        </w:tc>
        <w:tc>
          <w:tcPr>
            <w:tcW w:w="39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140~300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输出电压</w:t>
            </w:r>
          </w:p>
        </w:tc>
        <w:tc>
          <w:tcPr>
            <w:tcW w:w="39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220V±10%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电池模式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转换时间</w:t>
            </w:r>
          </w:p>
        </w:tc>
        <w:tc>
          <w:tcPr>
            <w:tcW w:w="39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4-8 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输出波形</w:t>
            </w:r>
          </w:p>
        </w:tc>
        <w:tc>
          <w:tcPr>
            <w:tcW w:w="39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模拟正弦波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电池类型</w:t>
            </w:r>
          </w:p>
        </w:tc>
        <w:tc>
          <w:tcPr>
            <w:tcW w:w="39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磷酸铁锂电池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量</w:t>
            </w:r>
          </w:p>
        </w:tc>
        <w:tc>
          <w:tcPr>
            <w:tcW w:w="133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12V/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AH</w:t>
            </w:r>
          </w:p>
        </w:tc>
        <w:tc>
          <w:tcPr>
            <w:tcW w:w="1295" w:type="pc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24V15Ah </w:t>
            </w:r>
          </w:p>
        </w:tc>
        <w:tc>
          <w:tcPr>
            <w:tcW w:w="1312" w:type="pc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24V25AH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充电时间</w:t>
            </w:r>
          </w:p>
        </w:tc>
        <w:tc>
          <w:tcPr>
            <w:tcW w:w="3942" w:type="pct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小时可充满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90%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 (DxWxH)</w:t>
            </w:r>
          </w:p>
        </w:tc>
        <w:tc>
          <w:tcPr>
            <w:tcW w:w="133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280*100*144</w:t>
            </w:r>
          </w:p>
        </w:tc>
        <w:tc>
          <w:tcPr>
            <w:tcW w:w="2607" w:type="pct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370*138*165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57" w:type="pct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(kgs)</w:t>
            </w:r>
          </w:p>
        </w:tc>
        <w:tc>
          <w:tcPr>
            <w:tcW w:w="1335" w:type="pct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3.4</w:t>
            </w:r>
          </w:p>
        </w:tc>
        <w:tc>
          <w:tcPr>
            <w:tcW w:w="1295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</w:t>
            </w:r>
          </w:p>
        </w:tc>
        <w:tc>
          <w:tcPr>
            <w:tcW w:w="1312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9.5</w:t>
            </w:r>
          </w:p>
        </w:tc>
      </w:tr>
    </w:tbl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spacing w:line="480" w:lineRule="auto"/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1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10V</w:t>
      </w: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铅酸蓄电池后备式U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PS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277"/>
        <w:gridCol w:w="323"/>
        <w:gridCol w:w="2916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50" w:type="pc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机型</w:t>
            </w:r>
          </w:p>
        </w:tc>
        <w:tc>
          <w:tcPr>
            <w:tcW w:w="106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MT500-110V</w:t>
            </w:r>
          </w:p>
        </w:tc>
        <w:tc>
          <w:tcPr>
            <w:tcW w:w="1516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MT1000V-110V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(-PRO)</w:t>
            </w:r>
          </w:p>
        </w:tc>
        <w:tc>
          <w:tcPr>
            <w:tcW w:w="1367" w:type="pc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MT1500V-110V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(-PRO)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  <w:tc>
          <w:tcPr>
            <w:tcW w:w="1066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600VA/360W</w:t>
            </w:r>
          </w:p>
        </w:tc>
        <w:tc>
          <w:tcPr>
            <w:tcW w:w="1516" w:type="pct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1000VA/600W</w:t>
            </w:r>
          </w:p>
        </w:tc>
        <w:tc>
          <w:tcPr>
            <w:tcW w:w="1367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1500VA/900W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输入电压</w:t>
            </w:r>
          </w:p>
        </w:tc>
        <w:tc>
          <w:tcPr>
            <w:tcW w:w="3949" w:type="pct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 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输入电压范围 </w:t>
            </w:r>
          </w:p>
        </w:tc>
        <w:tc>
          <w:tcPr>
            <w:tcW w:w="3949" w:type="pct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81~134V 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输出电压</w:t>
            </w:r>
          </w:p>
        </w:tc>
        <w:tc>
          <w:tcPr>
            <w:tcW w:w="3949" w:type="pct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110V±10%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电池模式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转换时间</w:t>
            </w:r>
          </w:p>
        </w:tc>
        <w:tc>
          <w:tcPr>
            <w:tcW w:w="3949" w:type="pct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4-8 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输出波形</w:t>
            </w:r>
          </w:p>
        </w:tc>
        <w:tc>
          <w:tcPr>
            <w:tcW w:w="3949" w:type="pct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模拟正弦波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电池&amp;数量</w:t>
            </w:r>
          </w:p>
        </w:tc>
        <w:tc>
          <w:tcPr>
            <w:tcW w:w="121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12V/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Ah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X 1</w:t>
            </w:r>
          </w:p>
        </w:tc>
        <w:tc>
          <w:tcPr>
            <w:tcW w:w="1365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12V/7Ah x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</w:t>
            </w:r>
          </w:p>
        </w:tc>
        <w:tc>
          <w:tcPr>
            <w:tcW w:w="1367" w:type="pc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12V/9Ah x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0" w:type="pc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充电时间</w:t>
            </w:r>
          </w:p>
        </w:tc>
        <w:tc>
          <w:tcPr>
            <w:tcW w:w="3949" w:type="pct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小时可充满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90%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mm </w:t>
            </w:r>
          </w:p>
        </w:tc>
        <w:tc>
          <w:tcPr>
            <w:tcW w:w="121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280*100*144</w:t>
            </w:r>
          </w:p>
        </w:tc>
        <w:tc>
          <w:tcPr>
            <w:tcW w:w="2732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370*138*165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50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(kgs)</w:t>
            </w:r>
          </w:p>
        </w:tc>
        <w:tc>
          <w:tcPr>
            <w:tcW w:w="1217" w:type="pct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</w:t>
            </w:r>
          </w:p>
        </w:tc>
        <w:tc>
          <w:tcPr>
            <w:tcW w:w="1365" w:type="pct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67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</w:tr>
    </w:tbl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spacing w:line="480" w:lineRule="auto"/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110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V</w:t>
      </w: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锂电池后备式U</w:t>
      </w:r>
      <w:r>
        <w:rPr>
          <w:rFonts w:ascii="宋体" w:hAnsi="宋体" w:eastAsiaTheme="minorEastAsia"/>
          <w:b/>
          <w:szCs w:val="21"/>
          <w:shd w:val="pct10" w:color="auto" w:fill="FFFFFF"/>
          <w:lang w:eastAsia="zh-CN"/>
        </w:rPr>
        <w:t>PS</w:t>
      </w:r>
    </w:p>
    <w:tbl>
      <w:tblPr>
        <w:tblStyle w:val="6"/>
        <w:tblW w:w="49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877"/>
        <w:gridCol w:w="2484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56" w:type="pc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机型</w:t>
            </w:r>
          </w:p>
        </w:tc>
        <w:tc>
          <w:tcPr>
            <w:tcW w:w="13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LT500-110V</w:t>
            </w:r>
          </w:p>
        </w:tc>
        <w:tc>
          <w:tcPr>
            <w:tcW w:w="1180" w:type="pc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LT1000-110V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(-PRO)</w:t>
            </w:r>
          </w:p>
        </w:tc>
        <w:tc>
          <w:tcPr>
            <w:tcW w:w="1396" w:type="pc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LT1500-110V(-PRO)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  <w:tc>
          <w:tcPr>
            <w:tcW w:w="1367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600VA/360W</w:t>
            </w:r>
          </w:p>
        </w:tc>
        <w:tc>
          <w:tcPr>
            <w:tcW w:w="1180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1000VA/600W</w:t>
            </w:r>
          </w:p>
        </w:tc>
        <w:tc>
          <w:tcPr>
            <w:tcW w:w="1396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1500VA/900W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输入电压</w:t>
            </w:r>
          </w:p>
        </w:tc>
        <w:tc>
          <w:tcPr>
            <w:tcW w:w="3943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输入电压范围</w:t>
            </w:r>
          </w:p>
        </w:tc>
        <w:tc>
          <w:tcPr>
            <w:tcW w:w="3943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81~134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输出电压</w:t>
            </w:r>
          </w:p>
        </w:tc>
        <w:tc>
          <w:tcPr>
            <w:tcW w:w="3943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110V±10%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电池模式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转换时间</w:t>
            </w:r>
          </w:p>
        </w:tc>
        <w:tc>
          <w:tcPr>
            <w:tcW w:w="3943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4-8 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输出波形</w:t>
            </w:r>
          </w:p>
        </w:tc>
        <w:tc>
          <w:tcPr>
            <w:tcW w:w="3943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模拟正弦波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电池类型</w:t>
            </w:r>
          </w:p>
        </w:tc>
        <w:tc>
          <w:tcPr>
            <w:tcW w:w="3943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磷酸铁锂电池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电池&amp;数量</w:t>
            </w:r>
          </w:p>
        </w:tc>
        <w:tc>
          <w:tcPr>
            <w:tcW w:w="13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12V/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Ah</w:t>
            </w:r>
          </w:p>
        </w:tc>
        <w:tc>
          <w:tcPr>
            <w:tcW w:w="1180" w:type="pc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24V15Ah</w:t>
            </w:r>
          </w:p>
        </w:tc>
        <w:tc>
          <w:tcPr>
            <w:tcW w:w="1396" w:type="pct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24V25AH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充电时间</w:t>
            </w:r>
          </w:p>
        </w:tc>
        <w:tc>
          <w:tcPr>
            <w:tcW w:w="3943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小时可充满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90% 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 (DxWxH)</w:t>
            </w:r>
          </w:p>
        </w:tc>
        <w:tc>
          <w:tcPr>
            <w:tcW w:w="13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280*100*144</w:t>
            </w:r>
          </w:p>
        </w:tc>
        <w:tc>
          <w:tcPr>
            <w:tcW w:w="2576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370*138*165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6" w:type="pc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重量</w:t>
            </w: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(kgs)</w:t>
            </w:r>
          </w:p>
        </w:tc>
        <w:tc>
          <w:tcPr>
            <w:tcW w:w="1367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3.5</w:t>
            </w:r>
          </w:p>
        </w:tc>
        <w:tc>
          <w:tcPr>
            <w:tcW w:w="1180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96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9.5</w:t>
            </w:r>
          </w:p>
        </w:tc>
      </w:tr>
    </w:tbl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</w:pPr>
    </w:p>
    <w:p>
      <w:pPr>
        <w:spacing w:line="480" w:lineRule="auto"/>
        <w:rPr>
          <w:rFonts w:hint="eastAsia"/>
          <w:sz w:val="20"/>
          <w:szCs w:val="20"/>
        </w:rPr>
      </w:pPr>
      <w:r>
        <w:rPr>
          <w:rFonts w:hint="eastAsia" w:ascii="宋体" w:hAnsi="宋体" w:eastAsiaTheme="minorEastAsia"/>
          <w:b/>
          <w:szCs w:val="21"/>
          <w:shd w:val="pct10" w:color="auto" w:fill="FFFFFF"/>
          <w:lang w:eastAsia="zh-CN"/>
        </w:rPr>
        <w:t>环境参数</w:t>
      </w:r>
    </w:p>
    <w:tbl>
      <w:tblPr>
        <w:tblStyle w:val="6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8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5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温湿度</w:t>
            </w:r>
          </w:p>
        </w:tc>
        <w:tc>
          <w:tcPr>
            <w:tcW w:w="39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0-90% 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5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噪音</w:t>
            </w:r>
          </w:p>
        </w:tc>
        <w:tc>
          <w:tcPr>
            <w:tcW w:w="39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小于 40dB</w:t>
            </w:r>
          </w:p>
        </w:tc>
      </w:tr>
    </w:tbl>
    <w:p>
      <w:pPr>
        <w:ind w:firstLine="180" w:firstLineChars="100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hint="eastAsia" w:ascii="Arial" w:hAnsi="Arial" w:eastAsia="宋体" w:cs="Arial"/>
          <w:sz w:val="18"/>
          <w:szCs w:val="18"/>
          <w:lang w:eastAsia="zh-CN"/>
        </w:rPr>
        <w:t>规格更新不再另行通知。</w:t>
      </w:r>
    </w:p>
    <w:p>
      <w:pPr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hint="eastAsia" w:ascii="Arial" w:hAnsi="Arial" w:eastAsia="宋体" w:cs="Arial"/>
          <w:sz w:val="18"/>
          <w:szCs w:val="18"/>
          <w:lang w:eastAsia="zh-CN"/>
        </w:rPr>
        <w:t>需详细产品资料可扫描机身二维码获取</w:t>
      </w:r>
    </w:p>
    <w:p>
      <w:pPr>
        <w:jc w:val="center"/>
        <w:rPr>
          <w:rFonts w:hint="eastAsia" w:ascii="Tahoma" w:hAnsi="Tahoma" w:eastAsia="宋体" w:cs="Tahom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="Tahoma" w:hAnsi="Tahoma" w:eastAsia="宋体" w:cs="Tahom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="Tahoma" w:hAnsi="Tahoma" w:eastAsia="宋体" w:cs="Tahoma"/>
          <w:b/>
          <w:sz w:val="52"/>
          <w:szCs w:val="52"/>
          <w:lang w:eastAsia="zh-CN"/>
        </w:rPr>
      </w:pPr>
    </w:p>
    <w:p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598805</wp:posOffset>
                </wp:positionV>
                <wp:extent cx="3203575" cy="1043940"/>
                <wp:effectExtent l="0" t="0" r="15875" b="22860"/>
                <wp:wrapSquare wrapText="bothSides"/>
                <wp:docPr id="1" name="Quad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0"/>
                                <w:szCs w:val="20"/>
                              </w:rPr>
                              <w:t>声明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  <w:szCs w:val="20"/>
                              </w:rPr>
                              <w:t>此为A级产品，在生活环境中，该产品可能会造成无线电干扰。在这种情况下，可能需要用户对其干扰采取确实可行的措施。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4" o:spid="_x0000_s1026" o:spt="202" type="#_x0000_t202" style="position:absolute;left:0pt;margin-left:8.4pt;margin-top:47.15pt;height:82.2pt;width:252.2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HQ6Nz2gAAAAkBAAAPAAAAAAAAAAEAIAAAACIAAABkcnMvZG93&#10;bnJldi54bWxQSwECFAAUAAAACACHTuJAgz/k3zcCAACJBAAADgAAAAAAAAABACAAAAApAQAAZHJz&#10;L2Uyb0RvYy54bWxQSwUGAAAAAAYABgBZAQAA0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0"/>
                          <w:szCs w:val="20"/>
                          <w:lang w:eastAsia="zh-CN"/>
                        </w:rPr>
                        <w:t>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0"/>
                          <w:szCs w:val="20"/>
                        </w:rPr>
                        <w:t>声明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Theme="minorEastAsia" w:hAnsiTheme="minorEastAsia" w:eastAsiaTheme="minorEastAsia"/>
                          <w:sz w:val="20"/>
                          <w:szCs w:val="20"/>
                        </w:rPr>
                        <w:t>此为A级产品，在生活环境中，该产品可能会造成无线电干扰。在这种情况下，可能需要用户对其干扰采取确实可行的措施。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360" w:firstLineChars="200"/>
        <w:rPr>
          <w:rFonts w:ascii="Arial" w:hAnsi="Arial" w:eastAsia="宋体" w:cs="Arial"/>
          <w:sz w:val="18"/>
          <w:szCs w:val="18"/>
          <w:lang w:eastAsia="zh-CN"/>
        </w:rPr>
      </w:pPr>
    </w:p>
    <w:p>
      <w:pPr>
        <w:ind w:firstLine="180" w:firstLineChars="100"/>
        <w:rPr>
          <w:rFonts w:ascii="Arial" w:hAnsi="Arial" w:eastAsia="宋体" w:cs="Arial"/>
          <w:sz w:val="18"/>
          <w:szCs w:val="18"/>
          <w:lang w:eastAsia="zh-CN"/>
        </w:rPr>
      </w:pPr>
    </w:p>
    <w:p>
      <w:pPr>
        <w:ind w:firstLine="180" w:firstLineChars="100"/>
        <w:rPr>
          <w:rFonts w:ascii="Arial" w:hAnsi="Arial" w:eastAsia="宋体" w:cs="Arial"/>
          <w:sz w:val="18"/>
          <w:szCs w:val="18"/>
          <w:lang w:eastAsia="zh-CN"/>
        </w:rPr>
      </w:pPr>
    </w:p>
    <w:p>
      <w:pPr>
        <w:ind w:firstLine="180" w:firstLineChars="100"/>
        <w:rPr>
          <w:rFonts w:ascii="Arial" w:hAnsi="Arial" w:eastAsia="宋体" w:cs="Arial"/>
          <w:sz w:val="18"/>
          <w:szCs w:val="18"/>
          <w:lang w:eastAsia="zh-CN"/>
        </w:rPr>
      </w:pPr>
    </w:p>
    <w:p>
      <w:pPr>
        <w:jc w:val="both"/>
        <w:rPr>
          <w:rFonts w:ascii="Arial" w:hAnsi="Arial" w:eastAsia="宋体" w:cs="Arial"/>
          <w:sz w:val="18"/>
          <w:szCs w:val="18"/>
          <w:lang w:eastAsia="zh-CN"/>
        </w:rPr>
      </w:pPr>
    </w:p>
    <w:p>
      <w:pPr>
        <w:jc w:val="both"/>
        <w:rPr>
          <w:rFonts w:ascii="Arial" w:hAnsi="Arial" w:eastAsia="宋体" w:cs="Arial"/>
          <w:sz w:val="18"/>
          <w:szCs w:val="18"/>
          <w:lang w:eastAsia="zh-CN"/>
        </w:rPr>
      </w:pPr>
    </w:p>
    <w:p>
      <w:pPr>
        <w:ind w:firstLine="180" w:firstLineChars="100"/>
        <w:jc w:val="both"/>
        <w:rPr>
          <w:rFonts w:hint="eastAsia"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  <w:lang w:eastAsia="zh-CN"/>
        </w:rPr>
        <w:t>76.06.00007-00</w:t>
      </w:r>
    </w:p>
    <w:p>
      <w:pPr>
        <w:rPr>
          <w:rFonts w:hint="eastAsia" w:ascii="Arial" w:hAnsi="Arial" w:eastAsia="宋体" w:cs="Arial"/>
          <w:sz w:val="18"/>
          <w:szCs w:val="18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55511"/>
    <w:multiLevelType w:val="multilevel"/>
    <w:tmpl w:val="1C355511"/>
    <w:lvl w:ilvl="0" w:tentative="0">
      <w:start w:val="1"/>
      <w:numFmt w:val="decimal"/>
      <w:lvlText w:val="%1、"/>
      <w:lvlJc w:val="left"/>
      <w:pPr>
        <w:tabs>
          <w:tab w:val="left" w:pos="690"/>
        </w:tabs>
        <w:ind w:left="69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170"/>
        </w:tabs>
        <w:ind w:left="11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90"/>
        </w:tabs>
        <w:ind w:left="15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10"/>
        </w:tabs>
        <w:ind w:left="20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30"/>
        </w:tabs>
        <w:ind w:left="24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50"/>
        </w:tabs>
        <w:ind w:left="28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70"/>
        </w:tabs>
        <w:ind w:left="32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90"/>
        </w:tabs>
        <w:ind w:left="36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10"/>
        </w:tabs>
        <w:ind w:left="4110" w:hanging="420"/>
      </w:pPr>
    </w:lvl>
  </w:abstractNum>
  <w:abstractNum w:abstractNumId="1">
    <w:nsid w:val="381661F4"/>
    <w:multiLevelType w:val="multilevel"/>
    <w:tmpl w:val="381661F4"/>
    <w:lvl w:ilvl="0" w:tentative="0">
      <w:start w:val="1"/>
      <w:numFmt w:val="decimal"/>
      <w:lvlText w:val="%1、"/>
      <w:lvlJc w:val="left"/>
      <w:pPr>
        <w:tabs>
          <w:tab w:val="left" w:pos="690"/>
        </w:tabs>
        <w:ind w:left="69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170"/>
        </w:tabs>
        <w:ind w:left="11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90"/>
        </w:tabs>
        <w:ind w:left="15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10"/>
        </w:tabs>
        <w:ind w:left="20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30"/>
        </w:tabs>
        <w:ind w:left="24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50"/>
        </w:tabs>
        <w:ind w:left="28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70"/>
        </w:tabs>
        <w:ind w:left="32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90"/>
        </w:tabs>
        <w:ind w:left="36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10"/>
        </w:tabs>
        <w:ind w:left="4110" w:hanging="420"/>
      </w:pPr>
    </w:lvl>
  </w:abstractNum>
  <w:abstractNum w:abstractNumId="2">
    <w:nsid w:val="40913023"/>
    <w:multiLevelType w:val="multilevel"/>
    <w:tmpl w:val="40913023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2MTdmODkxODgxM2RjZDg3MGU4ZGEzYWU5ZjkxM2IifQ=="/>
  </w:docVars>
  <w:rsids>
    <w:rsidRoot w:val="00A07101"/>
    <w:rsid w:val="0003499F"/>
    <w:rsid w:val="00035C43"/>
    <w:rsid w:val="00057176"/>
    <w:rsid w:val="000775B8"/>
    <w:rsid w:val="000C10F2"/>
    <w:rsid w:val="000D28CA"/>
    <w:rsid w:val="00112FCD"/>
    <w:rsid w:val="00113F59"/>
    <w:rsid w:val="00117841"/>
    <w:rsid w:val="00137E48"/>
    <w:rsid w:val="00181FF0"/>
    <w:rsid w:val="00193F61"/>
    <w:rsid w:val="001A1567"/>
    <w:rsid w:val="001C509A"/>
    <w:rsid w:val="001D797B"/>
    <w:rsid w:val="00214B1E"/>
    <w:rsid w:val="00227A01"/>
    <w:rsid w:val="0024214B"/>
    <w:rsid w:val="0027677A"/>
    <w:rsid w:val="002F26EC"/>
    <w:rsid w:val="00343E0B"/>
    <w:rsid w:val="003475A9"/>
    <w:rsid w:val="00390947"/>
    <w:rsid w:val="003A5650"/>
    <w:rsid w:val="003C724E"/>
    <w:rsid w:val="003E0365"/>
    <w:rsid w:val="00403FBF"/>
    <w:rsid w:val="0042630A"/>
    <w:rsid w:val="004371FE"/>
    <w:rsid w:val="00464739"/>
    <w:rsid w:val="004701BB"/>
    <w:rsid w:val="004744AE"/>
    <w:rsid w:val="004765C4"/>
    <w:rsid w:val="004A29B7"/>
    <w:rsid w:val="004A3C4D"/>
    <w:rsid w:val="004B0565"/>
    <w:rsid w:val="004D5084"/>
    <w:rsid w:val="00514511"/>
    <w:rsid w:val="00515DEC"/>
    <w:rsid w:val="0054513C"/>
    <w:rsid w:val="00551EEA"/>
    <w:rsid w:val="00566B3A"/>
    <w:rsid w:val="005801DB"/>
    <w:rsid w:val="005C72F8"/>
    <w:rsid w:val="005D1475"/>
    <w:rsid w:val="005F58B3"/>
    <w:rsid w:val="006255DC"/>
    <w:rsid w:val="00626417"/>
    <w:rsid w:val="006274CE"/>
    <w:rsid w:val="00646747"/>
    <w:rsid w:val="0065137E"/>
    <w:rsid w:val="0071487E"/>
    <w:rsid w:val="007211FB"/>
    <w:rsid w:val="00744C1D"/>
    <w:rsid w:val="00755AB7"/>
    <w:rsid w:val="007D63B9"/>
    <w:rsid w:val="007E0921"/>
    <w:rsid w:val="00806079"/>
    <w:rsid w:val="00813AAD"/>
    <w:rsid w:val="0082427A"/>
    <w:rsid w:val="00840F18"/>
    <w:rsid w:val="00867C17"/>
    <w:rsid w:val="008D608A"/>
    <w:rsid w:val="008E7A2A"/>
    <w:rsid w:val="0090197F"/>
    <w:rsid w:val="009049E0"/>
    <w:rsid w:val="009177BD"/>
    <w:rsid w:val="00924A62"/>
    <w:rsid w:val="009648B0"/>
    <w:rsid w:val="00976C3D"/>
    <w:rsid w:val="009860A4"/>
    <w:rsid w:val="0099081D"/>
    <w:rsid w:val="00997F4E"/>
    <w:rsid w:val="009A6167"/>
    <w:rsid w:val="00A05B64"/>
    <w:rsid w:val="00A07101"/>
    <w:rsid w:val="00A308DB"/>
    <w:rsid w:val="00A46D42"/>
    <w:rsid w:val="00A523A2"/>
    <w:rsid w:val="00A63619"/>
    <w:rsid w:val="00AD2552"/>
    <w:rsid w:val="00AF09B8"/>
    <w:rsid w:val="00B11318"/>
    <w:rsid w:val="00B4618C"/>
    <w:rsid w:val="00B728BD"/>
    <w:rsid w:val="00BD205A"/>
    <w:rsid w:val="00BD7926"/>
    <w:rsid w:val="00BF538D"/>
    <w:rsid w:val="00C1238F"/>
    <w:rsid w:val="00C37A0C"/>
    <w:rsid w:val="00C533AC"/>
    <w:rsid w:val="00C97EF0"/>
    <w:rsid w:val="00CA20D5"/>
    <w:rsid w:val="00CB38FC"/>
    <w:rsid w:val="00CD5186"/>
    <w:rsid w:val="00CF20C5"/>
    <w:rsid w:val="00D6672A"/>
    <w:rsid w:val="00D759F1"/>
    <w:rsid w:val="00D8015D"/>
    <w:rsid w:val="00D83F09"/>
    <w:rsid w:val="00DC0787"/>
    <w:rsid w:val="00E00E4F"/>
    <w:rsid w:val="00E11DD8"/>
    <w:rsid w:val="00E768AB"/>
    <w:rsid w:val="00E821A9"/>
    <w:rsid w:val="00E84324"/>
    <w:rsid w:val="00EB317D"/>
    <w:rsid w:val="00ED2BFF"/>
    <w:rsid w:val="00ED2EA7"/>
    <w:rsid w:val="00F13D46"/>
    <w:rsid w:val="00F45919"/>
    <w:rsid w:val="00F52819"/>
    <w:rsid w:val="00F73784"/>
    <w:rsid w:val="00F85BAF"/>
    <w:rsid w:val="00F93C8B"/>
    <w:rsid w:val="00F959E1"/>
    <w:rsid w:val="00FB7312"/>
    <w:rsid w:val="00FD1E39"/>
    <w:rsid w:val="148901EB"/>
    <w:rsid w:val="160466B4"/>
    <w:rsid w:val="21C25F5A"/>
    <w:rsid w:val="32AD0C7E"/>
    <w:rsid w:val="35673351"/>
    <w:rsid w:val="3948426B"/>
    <w:rsid w:val="5B940336"/>
    <w:rsid w:val="5CC50210"/>
    <w:rsid w:val="6E5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PMingLiU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字符"/>
    <w:link w:val="2"/>
    <w:qFormat/>
    <w:uiPriority w:val="0"/>
    <w:rPr>
      <w:kern w:val="2"/>
    </w:rPr>
  </w:style>
  <w:style w:type="character" w:customStyle="1" w:styleId="10">
    <w:name w:val="页眉 字符"/>
    <w:link w:val="3"/>
    <w:semiHidden/>
    <w:qFormat/>
    <w:uiPriority w:val="99"/>
    <w:rPr>
      <w:kern w:val="2"/>
      <w:sz w:val="18"/>
      <w:szCs w:val="18"/>
      <w:lang w:eastAsia="zh-TW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PMingLiU" w:cs="Arial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4"/>
      <sectRole val="1"/>
    </customSectPr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D2EA7-AE0D-4C03-9D5A-B7B365AF9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海迪尔</Manager>
  <Company>深圳市有为能源技术有限公司</Company>
  <Pages>8</Pages>
  <Words>1955</Words>
  <Characters>2685</Characters>
  <Lines>0</Lines>
  <Paragraphs>0</Paragraphs>
  <TotalTime>0</TotalTime>
  <ScaleCrop>false</ScaleCrop>
  <LinksUpToDate>false</LinksUpToDate>
  <CharactersWithSpaces>2752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后备式UPS不间断电源</cp:category>
  <dcterms:created xsi:type="dcterms:W3CDTF">2019-12-12T12:44:00Z</dcterms:created>
  <dc:creator>咕咕</dc:creator>
  <dc:description>MT/LT系列500-2000VA
后备式220V/110V不间断电源</dc:description>
  <cp:keywords>后备式  UPS不间断电源 220V 110V</cp:keywords>
  <cp:lastModifiedBy>美工赵帅</cp:lastModifiedBy>
  <cp:lastPrinted>2020-03-12T09:43:00Z</cp:lastPrinted>
  <dcterms:modified xsi:type="dcterms:W3CDTF">2022-05-23T01:29:46Z</dcterms:modified>
  <dc:subject>220V/110V后备式UPS不间断电源</dc:subject>
  <dc:title>MT/LT系列500-2000VA
后备式220V/110V不间断电源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9806DB8B81DD4B3D9C0188E9F5595D96</vt:lpwstr>
  </property>
</Properties>
</file>